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1090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908"/>
        <w:tblGridChange w:id="0">
          <w:tblGrid>
            <w:gridCol w:w="10908"/>
          </w:tblGrid>
        </w:tblGridChange>
      </w:tblGrid>
      <w:tr>
        <w:trPr>
          <w:cantSplit w:val="0"/>
          <w:trHeight w:val="1269" w:hRule="atLeast"/>
          <w:tblHeader w:val="0"/>
        </w:trPr>
        <w:tc>
          <w:tcPr>
            <w:tcBorders>
              <w:top w:color="000000" w:space="0" w:sz="0" w:val="nil"/>
              <w:left w:color="000000" w:space="0" w:sz="0" w:val="nil"/>
              <w:bottom w:color="7f7f7f" w:space="0" w:sz="4" w:val="single"/>
              <w:right w:color="000000" w:space="0" w:sz="0" w:val="nil"/>
            </w:tcBorders>
            <w:vAlign w:val="bottom"/>
          </w:tcPr>
          <w:p w:rsidR="00000000" w:rsidDel="00000000" w:rsidP="00000000" w:rsidRDefault="00000000" w:rsidRPr="00000000" w14:paraId="00000002">
            <w:pPr>
              <w:spacing w:after="120" w:before="120" w:lineRule="auto"/>
              <w:jc w:val="center"/>
              <w:rPr>
                <w:rFonts w:ascii="Arial" w:cs="Arial" w:eastAsia="Arial" w:hAnsi="Arial"/>
                <w:b w:val="1"/>
                <w:bCs w:val="1"/>
                <w:sz w:val="36"/>
                <w:szCs w:val="36"/>
              </w:rPr>
            </w:pPr>
            <w:r w:rsidDel="00000000" w:rsidR="00000000" w:rsidRPr="00000000">
              <w:rPr>
                <w:rFonts w:ascii="Arial" w:cs="Arial" w:eastAsia="Arial" w:hAnsi="Arial"/>
                <w:b w:val="1"/>
                <w:bCs w:val="1"/>
                <w:sz w:val="36"/>
                <w:szCs w:val="36"/>
                <w:rtl w:val="0"/>
              </w:rPr>
              <w:t xml:space="preserve">JOB DESCRIPTION</w:t>
            </w:r>
            <w:r w:rsidDel="00000000" w:rsidR="00000000" w:rsidRPr="00000000">
              <w:drawing>
                <wp:anchor allowOverlap="1" behindDoc="0" distB="0" distT="0" distL="114300" distR="114300" hidden="0" layoutInCell="1" locked="0" relativeHeight="0" simplePos="0">
                  <wp:simplePos x="0" y="0"/>
                  <wp:positionH relativeFrom="column">
                    <wp:posOffset>5883910</wp:posOffset>
                  </wp:positionH>
                  <wp:positionV relativeFrom="paragraph">
                    <wp:posOffset>-316225</wp:posOffset>
                  </wp:positionV>
                  <wp:extent cx="897255" cy="655320"/>
                  <wp:effectExtent b="0" l="0" r="0" t="0"/>
                  <wp:wrapNone/>
                  <wp:docPr id="1" name="image1.png"/>
                  <a:graphic>
                    <a:graphicData uri="http://schemas.openxmlformats.org/drawingml/2006/picture">
                      <pic:pic>
                        <pic:nvPicPr>
                          <pic:cNvPr id="0" name="image1.png"/>
                          <pic:cNvPicPr preferRelativeResize="0"/>
                        </pic:nvPicPr>
                        <pic:blipFill>
                          <a:blip r:embed="rId7"/>
                          <a:srcRect b="0" l="7602" r="75327" t="40817"/>
                          <a:stretch>
                            <a:fillRect/>
                          </a:stretch>
                        </pic:blipFill>
                        <pic:spPr>
                          <a:xfrm>
                            <a:off x="0" y="0"/>
                            <a:ext cx="897255" cy="655320"/>
                          </a:xfrm>
                          <a:prstGeom prst="rect"/>
                          <a:ln/>
                        </pic:spPr>
                      </pic:pic>
                    </a:graphicData>
                  </a:graphic>
                </wp:anchor>
              </w:drawing>
            </w:r>
          </w:p>
        </w:tc>
      </w:tr>
      <w:tr>
        <w:trPr>
          <w:cantSplit w:val="0"/>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3">
            <w:pPr>
              <w:spacing w:after="120" w:before="12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Job title:</w:t>
            </w:r>
            <w:r w:rsidDel="00000000" w:rsidR="00000000" w:rsidRPr="00000000">
              <w:rPr>
                <w:rFonts w:ascii="Arial" w:cs="Arial" w:eastAsia="Arial" w:hAnsi="Arial"/>
                <w:sz w:val="20"/>
                <w:szCs w:val="20"/>
                <w:rtl w:val="0"/>
              </w:rPr>
              <w:t xml:space="preserve"> Director, Partnerships</w:t>
            </w:r>
          </w:p>
        </w:tc>
      </w:tr>
      <w:tr>
        <w:trPr>
          <w:cantSplit w:val="0"/>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4">
            <w:pPr>
              <w:spacing w:after="120" w:before="12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Department:</w:t>
            </w:r>
            <w:r w:rsidDel="00000000" w:rsidR="00000000" w:rsidRPr="00000000">
              <w:rPr>
                <w:rFonts w:ascii="Arial" w:cs="Arial" w:eastAsia="Arial" w:hAnsi="Arial"/>
                <w:sz w:val="20"/>
                <w:szCs w:val="20"/>
                <w:rtl w:val="0"/>
              </w:rPr>
              <w:t xml:space="preserve"> Development</w:t>
            </w:r>
          </w:p>
        </w:tc>
      </w:tr>
      <w:tr>
        <w:trPr>
          <w:cantSplit w:val="0"/>
          <w:trHeight w:val="485" w:hRule="atLeast"/>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5">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Reports to: </w:t>
            </w:r>
            <w:r w:rsidDel="00000000" w:rsidR="00000000" w:rsidRPr="00000000">
              <w:rPr>
                <w:rFonts w:ascii="Arial" w:cs="Arial" w:eastAsia="Arial" w:hAnsi="Arial"/>
                <w:sz w:val="20"/>
                <w:szCs w:val="20"/>
                <w:rtl w:val="0"/>
              </w:rPr>
              <w:t xml:space="preserve">Chief Development Officer</w:t>
            </w:r>
            <w:r w:rsidDel="00000000" w:rsidR="00000000" w:rsidRPr="00000000">
              <w:rPr>
                <w:rtl w:val="0"/>
              </w:rPr>
            </w:r>
          </w:p>
        </w:tc>
      </w:tr>
      <w:tr>
        <w:trPr>
          <w:cantSplit w:val="0"/>
          <w:trHeight w:val="485" w:hRule="atLeast"/>
          <w:tblHeader w:val="0"/>
        </w:trPr>
        <w:tc>
          <w:tcPr>
            <w:tcBorders>
              <w:top w:color="7f7f7f" w:space="0" w:sz="4" w:val="single"/>
              <w:left w:color="7f7f7f" w:space="0" w:sz="4" w:val="single"/>
              <w:bottom w:color="7f7f7f" w:space="0" w:sz="4" w:val="single"/>
              <w:right w:color="7f7f7f" w:space="0" w:sz="4" w:val="single"/>
            </w:tcBorders>
            <w:vAlign w:val="center"/>
          </w:tcPr>
          <w:p w:rsidR="00000000" w:rsidDel="00000000" w:rsidP="00000000" w:rsidRDefault="00000000" w:rsidRPr="00000000" w14:paraId="00000006">
            <w:pPr>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 of Employees Directly Managed by this Position, if applicable:  2</w:t>
            </w: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0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Primary Purpose</w:t>
            </w:r>
          </w:p>
          <w:p w:rsidR="00000000" w:rsidDel="00000000" w:rsidP="00000000" w:rsidRDefault="00000000" w:rsidRPr="00000000" w14:paraId="00000008">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State the primary purpose of the job with reference to the overall results and/or objectives expected rather what is specifically done. Describe the purpose in 1-2 sentences. </w:t>
            </w:r>
          </w:p>
          <w:p w:rsidR="00000000" w:rsidDel="00000000" w:rsidP="00000000" w:rsidRDefault="00000000" w:rsidRPr="00000000" w14:paraId="00000009">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0A">
            <w:pPr>
              <w:spacing w:after="80" w:lineRule="auto"/>
              <w:rPr>
                <w:rFonts w:ascii="Arial" w:cs="Arial" w:eastAsia="Arial" w:hAnsi="Arial"/>
                <w:sz w:val="20"/>
                <w:szCs w:val="20"/>
                <w:highlight w:val="white"/>
              </w:rPr>
            </w:pPr>
            <w:r w:rsidDel="00000000" w:rsidR="00000000" w:rsidRPr="00000000">
              <w:rPr>
                <w:rFonts w:ascii="Arial" w:cs="Arial" w:eastAsia="Arial" w:hAnsi="Arial"/>
                <w:sz w:val="20"/>
                <w:szCs w:val="20"/>
                <w:rtl w:val="0"/>
              </w:rPr>
              <w:t xml:space="preserve">The Director of Partnerships is a commercially astute and entrepreneurial leader who drives the Toronto Symphony Orchestra's corporate portfolio across collaborations, partnerships, sponsorships, and activations. Reporting to the Chief Development Officer, the Director identifies, negotiates, and closes high-value, mission-aligned deals; delivers ambitious revenue growth across sponsorship and philanthropic streams; oversees the design and delivery of partner activations that bring commitments to life; and leads a high-performing team in advancing the TSO's long-term sustainability and strategic priorities. </w:t>
            </w:r>
            <w:r w:rsidDel="00000000" w:rsidR="00000000" w:rsidRPr="00000000">
              <w:rPr>
                <w:rtl w:val="0"/>
              </w:rPr>
            </w:r>
          </w:p>
          <w:p w:rsidR="00000000" w:rsidDel="00000000" w:rsidP="00000000" w:rsidRDefault="00000000" w:rsidRPr="00000000" w14:paraId="0000000B">
            <w:pPr>
              <w:ind w:left="0" w:firstLine="0"/>
              <w:rPr>
                <w:rFonts w:ascii="Arial" w:cs="Arial" w:eastAsia="Arial" w:hAnsi="Arial"/>
                <w:color w:val="22323d"/>
                <w:sz w:val="20"/>
                <w:szCs w:val="20"/>
                <w:highlight w:val="white"/>
              </w:rPr>
            </w:pPr>
            <w:r w:rsidDel="00000000" w:rsidR="00000000" w:rsidRPr="00000000">
              <w:rPr>
                <w:rtl w:val="0"/>
              </w:rPr>
            </w:r>
          </w:p>
        </w:tc>
      </w:tr>
      <w:tr>
        <w:trPr>
          <w:cantSplit w:val="0"/>
          <w:trHeight w:val="125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0C">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Knowledge, Education, and/or Work Experience Requirements</w:t>
            </w:r>
          </w:p>
          <w:p w:rsidR="00000000" w:rsidDel="00000000" w:rsidP="00000000" w:rsidRDefault="00000000" w:rsidRPr="00000000" w14:paraId="0000000D">
            <w:pPr>
              <w:rPr>
                <w:rFonts w:ascii="Arial" w:cs="Arial" w:eastAsia="Arial" w:hAnsi="Arial"/>
                <w:sz w:val="20"/>
                <w:szCs w:val="20"/>
              </w:rPr>
            </w:pPr>
            <w:r w:rsidDel="00000000" w:rsidR="00000000" w:rsidRPr="00000000">
              <w:rPr>
                <w:rFonts w:ascii="Arial Narrow" w:cs="Arial Narrow" w:eastAsia="Arial Narrow" w:hAnsi="Arial Narrow"/>
                <w:color w:val="2d64af"/>
                <w:sz w:val="18"/>
                <w:szCs w:val="18"/>
                <w:rtl w:val="0"/>
              </w:rPr>
              <w:t xml:space="preserve">Describe the education, knowledge, skills, and work experience that are required to perform the job. </w:t>
            </w:r>
            <w:r w:rsidDel="00000000" w:rsidR="00000000" w:rsidRPr="00000000">
              <w:rPr>
                <w:rFonts w:ascii="Arial" w:cs="Arial" w:eastAsia="Arial" w:hAnsi="Arial"/>
                <w:sz w:val="20"/>
                <w:szCs w:val="20"/>
                <w:rtl w:val="0"/>
              </w:rPr>
              <w:br w:type="textWrapping"/>
            </w:r>
          </w:p>
          <w:p w:rsidR="00000000" w:rsidDel="00000000" w:rsidP="00000000" w:rsidRDefault="00000000" w:rsidRPr="00000000" w14:paraId="0000000E">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10+ years of progressive experience in corporate partnerships and sponsorship, with a demonstrated track record of securing and growing six- and seven-figure partnerships.</w:t>
            </w:r>
          </w:p>
          <w:p w:rsidR="00000000" w:rsidDel="00000000" w:rsidP="00000000" w:rsidRDefault="00000000" w:rsidRPr="00000000" w14:paraId="0000000F">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experience designing and negotiating complex, multi-year, multi-channel partnership agreements, including activation strategy, benefit fulfillment, performance measurement and reporting</w:t>
            </w:r>
          </w:p>
          <w:p w:rsidR="00000000" w:rsidDel="00000000" w:rsidP="00000000" w:rsidRDefault="00000000" w:rsidRPr="00000000" w14:paraId="00000010">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Strong understanding of the principles of fundraising and the gift cycle, with the ability to apply these principles to the cultivation, solicitation, and stewardship of corporate partners.</w:t>
            </w:r>
          </w:p>
          <w:p w:rsidR="00000000" w:rsidDel="00000000" w:rsidP="00000000" w:rsidRDefault="00000000" w:rsidRPr="00000000" w14:paraId="00000011">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Demonstrated leadership experience, including direct management of staff, team development, and the ability to work collaboratively across a complex organization.</w:t>
            </w:r>
          </w:p>
          <w:p w:rsidR="00000000" w:rsidDel="00000000" w:rsidP="00000000" w:rsidRDefault="00000000" w:rsidRPr="00000000" w14:paraId="00000012">
            <w:pPr>
              <w:numPr>
                <w:ilvl w:val="0"/>
                <w:numId w:val="2"/>
              </w:numPr>
              <w:spacing w:after="60" w:lineRule="auto"/>
              <w:ind w:left="45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Strong strategic planning, analytical, and financial acumen, including experience managing revenue targets, pipelines, and partner ROI reporting.</w:t>
            </w:r>
          </w:p>
          <w:p w:rsidR="00000000" w:rsidDel="00000000" w:rsidP="00000000" w:rsidRDefault="00000000" w:rsidRPr="00000000" w14:paraId="00000013">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45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Sophisticated interpersonal, communication, presentation, and negotiation skills, with the ability to engage senior corporate executives, donors, board members, and executive leadership.</w:t>
            </w:r>
          </w:p>
          <w:p w:rsidR="00000000" w:rsidDel="00000000" w:rsidP="00000000" w:rsidRDefault="00000000" w:rsidRPr="00000000" w14:paraId="0000001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45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Experience working closely with marketing, communications, events and cross-functional teams to deliver high-quality partner experiences and activations.</w:t>
            </w:r>
          </w:p>
          <w:p w:rsidR="00000000" w:rsidDel="00000000" w:rsidP="00000000" w:rsidRDefault="00000000" w:rsidRPr="00000000" w14:paraId="0000001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45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Experience in the performing arts, cultural, educational, or complex not-for-profit environment strongly preferred.</w:t>
            </w:r>
          </w:p>
          <w:p w:rsidR="00000000" w:rsidDel="00000000" w:rsidP="00000000" w:rsidRDefault="00000000" w:rsidRPr="00000000" w14:paraId="0000001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45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High level of professionalism, discretion, and ethical judgment, including the ability to manage confidential donor and partner information.</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60" w:before="0" w:line="240" w:lineRule="auto"/>
              <w:ind w:left="450" w:right="0" w:hanging="360"/>
              <w:jc w:val="left"/>
              <w:rPr>
                <w:rFonts w:ascii="Arial" w:cs="Arial" w:eastAsia="Arial" w:hAnsi="Arial"/>
                <w:sz w:val="20"/>
                <w:szCs w:val="20"/>
              </w:rPr>
            </w:pPr>
            <w:r w:rsidDel="00000000" w:rsidR="00000000" w:rsidRPr="00000000">
              <w:rPr>
                <w:rFonts w:ascii="Arial" w:cs="Arial" w:eastAsia="Arial" w:hAnsi="Arial"/>
                <w:sz w:val="20"/>
                <w:szCs w:val="20"/>
                <w:rtl w:val="0"/>
              </w:rPr>
              <w:t xml:space="preserve">Post-secondary degree or equivalent professional experience.</w:t>
            </w:r>
            <w:r w:rsidDel="00000000" w:rsidR="00000000" w:rsidRPr="00000000">
              <w:rPr>
                <w:rtl w:val="0"/>
              </w:rPr>
            </w:r>
          </w:p>
        </w:tc>
      </w:tr>
      <w:tr>
        <w:trPr>
          <w:cantSplit w:val="0"/>
          <w:trHeight w:val="1952"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18">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Major Duties and Responsibilities</w:t>
            </w:r>
          </w:p>
          <w:p w:rsidR="00000000" w:rsidDel="00000000" w:rsidP="00000000" w:rsidRDefault="00000000" w:rsidRPr="00000000" w14:paraId="00000019">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main duties and responsibilities of the job and not the specific and detailed work tasks. Use action verbs to describe duties and responsibilities. Identify any specific goals (desired end results) of the job.</w:t>
            </w:r>
          </w:p>
          <w:p w:rsidR="00000000" w:rsidDel="00000000" w:rsidP="00000000" w:rsidRDefault="00000000" w:rsidRPr="00000000" w14:paraId="0000001A">
            <w:pPr>
              <w:ind w:left="450"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B">
            <w:pPr>
              <w:numPr>
                <w:ilvl w:val="0"/>
                <w:numId w:val="1"/>
              </w:numPr>
              <w:spacing w:after="20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Set the strategic direction for the corporate partnerships portfolio across collaborations, partnerships, sponsorships, and brand activations - driving the evolution of the program toward deeper, mission-aligned, commercially compelling relationships.</w:t>
            </w:r>
          </w:p>
          <w:p w:rsidR="00000000" w:rsidDel="00000000" w:rsidP="00000000" w:rsidRDefault="00000000" w:rsidRPr="00000000" w14:paraId="0000001C">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Hold full accountability for annual partnership revenue targets across sponsorship and philanthropic streams, and for the health, growth, and conversion of a multi-year prospect pipeline. </w:t>
            </w:r>
          </w:p>
          <w:p w:rsidR="00000000" w:rsidDel="00000000" w:rsidP="00000000" w:rsidRDefault="00000000" w:rsidRPr="00000000" w14:paraId="0000001D">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Personally identify, cultivate, negotiate, and close partnership commitments, including multi-year and integrated agreements.</w:t>
            </w:r>
          </w:p>
          <w:p w:rsidR="00000000" w:rsidDel="00000000" w:rsidP="00000000" w:rsidRDefault="00000000" w:rsidRPr="00000000" w14:paraId="0000001E">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Design, price, and refresh the TSO's partnership offer — including tiered packages, valuation methodology, activation concepts, and bespoke proposals — to respond to market conditions and maximize both commercial and philanthropic value. </w:t>
            </w:r>
          </w:p>
          <w:p w:rsidR="00000000" w:rsidDel="00000000" w:rsidP="00000000" w:rsidRDefault="00000000" w:rsidRPr="00000000" w14:paraId="0000001F">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Hold partner-facing accountability for the delivery of contracted benefits and activations, partnering with internal teams to ensure each commitment is executed with excellence and brings the partnership to life for the partner's audiences, employees, and clients.</w:t>
            </w:r>
          </w:p>
          <w:p w:rsidR="00000000" w:rsidDel="00000000" w:rsidP="00000000" w:rsidRDefault="00000000" w:rsidRPr="00000000" w14:paraId="00000020">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Lead, mentor, and develop a team of two direct reports, setting clear performance expectations, building commercial capability, and fostering an entrepreneurial, high-performance culture.</w:t>
            </w:r>
          </w:p>
          <w:p w:rsidR="00000000" w:rsidDel="00000000" w:rsidP="00000000" w:rsidRDefault="00000000" w:rsidRPr="00000000" w14:paraId="00000021">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Collaborate closely with Artistic leadership, Education &amp; Community, Marketing &amp; Communications, and Finance to ensure partnership offers are commercially compelling, artistically aligned, and operationally deliverable.</w:t>
            </w:r>
          </w:p>
          <w:p w:rsidR="00000000" w:rsidDel="00000000" w:rsidP="00000000" w:rsidRDefault="00000000" w:rsidRPr="00000000" w14:paraId="00000022">
            <w:pPr>
              <w:numPr>
                <w:ilvl w:val="0"/>
                <w:numId w:val="1"/>
              </w:numPr>
              <w:spacing w:after="200"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Partner with the Director of Philanthropy and Director of Individual Giving to identify and convert cross-portfolio opportunities in both directions - between corporate, individual, and audience pipelines. </w:t>
            </w:r>
          </w:p>
          <w:p w:rsidR="00000000" w:rsidDel="00000000" w:rsidP="00000000" w:rsidRDefault="00000000" w:rsidRPr="00000000" w14:paraId="00000023">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Drive the creation of compelling pitch materials, customized partnership proposals, and stewardship reports that translate the TSO's artistic ambition into commercial value - winning new partners and deepening existing ones through clear, brand-aligned, ROI-driven storytelling. </w:t>
            </w:r>
          </w:p>
          <w:p w:rsidR="00000000" w:rsidDel="00000000" w:rsidP="00000000" w:rsidRDefault="00000000" w:rsidRPr="00000000" w14:paraId="00000024">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Equip and partner with Board members, Development Committee members, and senior corporate volunteers to drive peer-to-peer outreach, partner cultivation, and solicitation. </w:t>
            </w:r>
          </w:p>
          <w:p w:rsidR="00000000" w:rsidDel="00000000" w:rsidP="00000000" w:rsidRDefault="00000000" w:rsidRPr="00000000" w14:paraId="00000025">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Support the Chief Development Officer and Executive Leadership in planning for a future major campaign, including the identification, cultivation, and solicitation of corporate campaign commitments.</w:t>
            </w:r>
          </w:p>
          <w:p w:rsidR="00000000" w:rsidDel="00000000" w:rsidP="00000000" w:rsidRDefault="00000000" w:rsidRPr="00000000" w14:paraId="00000026">
            <w:pPr>
              <w:numPr>
                <w:ilvl w:val="0"/>
                <w:numId w:val="1"/>
              </w:numPr>
              <w:spacing w:after="200" w:before="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Maintain commercial and operational discipline across the portfolio - including contract management, benefits-delivery tracking, pipeline reporting, CRM hygiene, budget oversight, and KPI accountability across revenue, retention, conversion, and partner progression.</w:t>
            </w:r>
          </w:p>
          <w:p w:rsidR="00000000" w:rsidDel="00000000" w:rsidP="00000000" w:rsidRDefault="00000000" w:rsidRPr="00000000" w14:paraId="00000027">
            <w:pPr>
              <w:numPr>
                <w:ilvl w:val="0"/>
                <w:numId w:val="1"/>
              </w:numPr>
              <w:spacing w:after="20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Maintain a current view of the market - tracking trends in corporate philanthropy, sponsorship, brand activation, and arts-sector partnerships - and bring an entrepreneurial, opportunity-spotting mindset to growing the portfolio. </w:t>
            </w:r>
          </w:p>
          <w:p w:rsidR="00000000" w:rsidDel="00000000" w:rsidP="00000000" w:rsidRDefault="00000000" w:rsidRPr="00000000" w14:paraId="00000028">
            <w:pPr>
              <w:numPr>
                <w:ilvl w:val="0"/>
                <w:numId w:val="1"/>
              </w:numPr>
              <w:spacing w:after="200" w:line="240" w:lineRule="auto"/>
              <w:ind w:left="720" w:hanging="360"/>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Maintain a strong on-site presence at TSO performances, partner activations, and donor events, using these moments to deepen partner relationships, host prospects, and represent the TSO at the executive level. </w:t>
            </w:r>
          </w:p>
          <w:p w:rsidR="00000000" w:rsidDel="00000000" w:rsidP="00000000" w:rsidRDefault="00000000" w:rsidRPr="00000000" w14:paraId="00000029">
            <w:pPr>
              <w:ind w:left="450" w:firstLine="0"/>
              <w:rPr>
                <w:rFonts w:ascii="Arial" w:cs="Arial" w:eastAsia="Arial" w:hAnsi="Arial"/>
                <w:sz w:val="18"/>
                <w:szCs w:val="18"/>
              </w:rPr>
            </w:pPr>
            <w:r w:rsidDel="00000000" w:rsidR="00000000" w:rsidRPr="00000000">
              <w:rPr>
                <w:rtl w:val="0"/>
              </w:rPr>
            </w:r>
          </w:p>
        </w:tc>
      </w:tr>
      <w:tr>
        <w:trPr>
          <w:cantSplit w:val="0"/>
          <w:trHeight w:val="1448"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Nature and Scope of Responsibility</w:t>
            </w:r>
          </w:p>
          <w:p w:rsidR="00000000" w:rsidDel="00000000" w:rsidP="00000000" w:rsidRDefault="00000000" w:rsidRPr="00000000" w14:paraId="0000002B">
            <w:pPr>
              <w:rPr>
                <w:rFonts w:ascii="Arial" w:cs="Arial" w:eastAsia="Arial" w:hAnsi="Arial"/>
                <w:color w:val="ff0000"/>
                <w:sz w:val="20"/>
                <w:szCs w:val="20"/>
              </w:rPr>
            </w:pPr>
            <w:r w:rsidDel="00000000" w:rsidR="00000000" w:rsidRPr="00000000">
              <w:rPr>
                <w:rFonts w:ascii="Arial Narrow" w:cs="Arial Narrow" w:eastAsia="Arial Narrow" w:hAnsi="Arial Narrow"/>
                <w:color w:val="2d64af"/>
                <w:sz w:val="18"/>
                <w:szCs w:val="18"/>
                <w:rtl w:val="0"/>
              </w:rPr>
              <w:t xml:space="preserve">Job Scope: describe the assistance, support, influence, control or leadership the job is required to provide to others. This may include co-worker support, technical support, training, and all levels of supervision and management.</w:t>
            </w:r>
            <w:r w:rsidDel="00000000" w:rsidR="00000000" w:rsidRPr="00000000">
              <w:rPr>
                <w:rtl w:val="0"/>
              </w:rPr>
            </w:r>
          </w:p>
          <w:p w:rsidR="00000000" w:rsidDel="00000000" w:rsidP="00000000" w:rsidRDefault="00000000" w:rsidRPr="00000000" w14:paraId="0000002C">
            <w:pPr>
              <w:spacing w:after="240" w:before="240" w:lineRule="auto"/>
              <w:rPr>
                <w:rFonts w:ascii="Arial" w:cs="Arial" w:eastAsia="Arial" w:hAnsi="Arial"/>
                <w:sz w:val="18"/>
                <w:szCs w:val="18"/>
              </w:rPr>
            </w:pPr>
            <w:r w:rsidDel="00000000" w:rsidR="00000000" w:rsidRPr="00000000">
              <w:rPr>
                <w:rFonts w:ascii="Arial" w:cs="Arial" w:eastAsia="Arial" w:hAnsi="Arial"/>
                <w:sz w:val="20"/>
                <w:szCs w:val="20"/>
                <w:rtl w:val="0"/>
              </w:rPr>
              <w:t xml:space="preserve">The Director of Partnerships provides senior-level leadership and strategic direction for the Toronto Symphony Orchestra's corporate partnerships portfolio, exercising influence across the organization to advance partnership and revenue priorities. The Director leads, mentors, and develops a team of two direct reports, while serving as a key advisor to the Chief Development Officer, Executive Leadership Team, and senior volunteers on partnership strategy, sponsorship architecture, brand alignment, and corporate engagement. The role requires close collaboration with Artistic and Music leadership, Education &amp; Community, Marketing &amp; Communications, Finance, and the broader Development team to align partnership initiatives with institutional goals and ensure partner commitments are delivered with excellence.</w:t>
            </w:r>
            <w:r w:rsidDel="00000000" w:rsidR="00000000" w:rsidRPr="00000000">
              <w:rPr>
                <w:rFonts w:ascii="Arial" w:cs="Arial" w:eastAsia="Arial" w:hAnsi="Arial"/>
                <w:b w:val="1"/>
                <w:bCs w:val="1"/>
                <w:sz w:val="18"/>
                <w:szCs w:val="18"/>
                <w:rtl w:val="0"/>
              </w:rPr>
              <w:t xml:space="preserve"> </w:t>
            </w:r>
            <w:r w:rsidDel="00000000" w:rsidR="00000000" w:rsidRPr="00000000">
              <w:rPr>
                <w:rtl w:val="0"/>
              </w:rPr>
            </w:r>
          </w:p>
        </w:tc>
      </w:tr>
      <w:tr>
        <w:trPr>
          <w:cantSplit w:val="0"/>
          <w:trHeight w:val="98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2D">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Judgement: describe the typical and/or usual issues or problems the job is required to handle and resolve.</w:t>
            </w:r>
          </w:p>
          <w:p w:rsidR="00000000" w:rsidDel="00000000" w:rsidP="00000000" w:rsidRDefault="00000000" w:rsidRPr="00000000" w14:paraId="0000002E">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2F">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Director of Partnerships is required to exercise sound professional and commercial judgment in managing complex, high-value corporate relationships, contractual commitments, and confidential information. The role involves assessing partner readiness, structuring and pricing sponsorship and philanthropic offers, negotiating contractual terms and benefits, and navigating sensitive organizational, brand, and interpersonal dynamics. </w:t>
            </w:r>
          </w:p>
          <w:p w:rsidR="00000000" w:rsidDel="00000000" w:rsidP="00000000" w:rsidRDefault="00000000" w:rsidRPr="00000000" w14:paraId="00000030">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Director must balance competing priorities - including artistic integrity, commercial value, partner expectations, and operational deliverability - manage commercial and reputational risk, resolve activation and benefits-delivery issues across departments, and make decisions that protect partner trust, support revenue goals, and uphold the TSO's reputation and artistic mission. </w:t>
            </w:r>
          </w:p>
          <w:p w:rsidR="00000000" w:rsidDel="00000000" w:rsidP="00000000" w:rsidRDefault="00000000" w:rsidRPr="00000000" w14:paraId="00000031">
            <w:pPr>
              <w:ind w:left="0" w:firstLine="0"/>
              <w:rPr>
                <w:rFonts w:ascii="Arial" w:cs="Arial" w:eastAsia="Arial" w:hAnsi="Arial"/>
                <w:b w:val="1"/>
                <w:bCs w:val="1"/>
                <w:sz w:val="18"/>
                <w:szCs w:val="18"/>
              </w:rPr>
            </w:pPr>
            <w:r w:rsidDel="00000000" w:rsidR="00000000" w:rsidRPr="00000000">
              <w:rPr>
                <w:rtl w:val="0"/>
              </w:rPr>
            </w:r>
          </w:p>
        </w:tc>
      </w:tr>
      <w:tr>
        <w:trPr>
          <w:cantSplit w:val="0"/>
          <w:trHeight w:val="1133"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2">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Decision-Making: describe the typical and/or usual recommendations or decisions the job is required to make. Indicate the impact of decisions.</w:t>
            </w:r>
          </w:p>
          <w:p w:rsidR="00000000" w:rsidDel="00000000" w:rsidP="00000000" w:rsidRDefault="00000000" w:rsidRPr="00000000" w14:paraId="00000033">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34">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Director of Partnerships makes independent decisions related to partnership strategy, prospect prioritization, solicitation and negotiation planning, portfolio management, valuation and pricing of sponsorship and partnership offers, contract terms within delegated authority, team leadership, and budget oversight, within established organizational frameworks. </w:t>
            </w:r>
          </w:p>
          <w:p w:rsidR="00000000" w:rsidDel="00000000" w:rsidP="00000000" w:rsidRDefault="00000000" w:rsidRPr="00000000" w14:paraId="00000035">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Director also contributes strategic recommendations that inform campaign planning, brand alignment, resource allocation, and the long-term direction of the partnerships program. Decisions in this role have a direct and measurable impact on contributed and sponsorship revenue, partner retention and progression, the TSO's corporate brand reputation, and its long-term financial sustainability. </w:t>
            </w:r>
          </w:p>
          <w:p w:rsidR="00000000" w:rsidDel="00000000" w:rsidP="00000000" w:rsidRDefault="00000000" w:rsidRPr="00000000" w14:paraId="00000036">
            <w:pPr>
              <w:ind w:left="0" w:firstLine="0"/>
              <w:rPr>
                <w:rFonts w:ascii="Arial" w:cs="Arial" w:eastAsia="Arial" w:hAnsi="Arial"/>
                <w:sz w:val="18"/>
                <w:szCs w:val="18"/>
              </w:rPr>
            </w:pPr>
            <w:r w:rsidDel="00000000" w:rsidR="00000000" w:rsidRPr="00000000">
              <w:rPr>
                <w:rtl w:val="0"/>
              </w:rPr>
            </w:r>
          </w:p>
        </w:tc>
      </w:tr>
      <w:tr>
        <w:trPr>
          <w:cantSplit w:val="0"/>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7">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Relationship Management</w:t>
            </w:r>
          </w:p>
          <w:p w:rsidR="00000000" w:rsidDel="00000000" w:rsidP="00000000" w:rsidRDefault="00000000" w:rsidRPr="00000000" w14:paraId="00000038">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relationships (internal/external) that the job is required to have, and the purpose of the relationships.</w:t>
            </w:r>
          </w:p>
          <w:p w:rsidR="00000000" w:rsidDel="00000000" w:rsidP="00000000" w:rsidRDefault="00000000" w:rsidRPr="00000000" w14:paraId="00000039">
            <w:pPr>
              <w:spacing w:after="240" w:before="240" w:lineRule="auto"/>
              <w:rPr>
                <w:rFonts w:ascii="Arial" w:cs="Arial" w:eastAsia="Arial" w:hAnsi="Arial"/>
                <w:sz w:val="18"/>
                <w:szCs w:val="18"/>
              </w:rPr>
            </w:pPr>
            <w:r w:rsidDel="00000000" w:rsidR="00000000" w:rsidRPr="00000000">
              <w:rPr>
                <w:rFonts w:ascii="Arial" w:cs="Arial" w:eastAsia="Arial" w:hAnsi="Arial"/>
                <w:sz w:val="18"/>
                <w:szCs w:val="18"/>
                <w:rtl w:val="0"/>
              </w:rPr>
              <w:t xml:space="preserve">The Director of Partnerships is required to establish, maintain, and strengthen effective working relationships across the organization and externally in support of the TSO's corporate partnerships portfolio.</w:t>
            </w:r>
          </w:p>
          <w:p w:rsidR="00000000" w:rsidDel="00000000" w:rsidP="00000000" w:rsidRDefault="00000000" w:rsidRPr="00000000" w14:paraId="0000003A">
            <w:pPr>
              <w:spacing w:after="240" w:before="24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Internal Relationships:</w:t>
            </w:r>
            <w:r w:rsidDel="00000000" w:rsidR="00000000" w:rsidRPr="00000000">
              <w:rPr>
                <w:rFonts w:ascii="Arial" w:cs="Arial" w:eastAsia="Arial" w:hAnsi="Arial"/>
                <w:sz w:val="18"/>
                <w:szCs w:val="18"/>
                <w:rtl w:val="0"/>
              </w:rPr>
              <w:t xml:space="preserve"> Works closely with the Chief Development Officer, Executive Leadership Team, Artistic, Orchestra Operations, Education &amp; Community, Development Operations, Philanthropy, Individual Giving, Marketing &amp; Communications, Events, and Finance to align partnership strategy with artistic and institutional priorities, design commercially compelling partner offers, and ensure each partner commitment is delivered with excellence.</w:t>
            </w:r>
          </w:p>
          <w:p w:rsidR="00000000" w:rsidDel="00000000" w:rsidP="00000000" w:rsidRDefault="00000000" w:rsidRPr="00000000" w14:paraId="0000003B">
            <w:pPr>
              <w:spacing w:after="240" w:before="24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Volunteer and Governance Relationships:</w:t>
            </w:r>
            <w:r w:rsidDel="00000000" w:rsidR="00000000" w:rsidRPr="00000000">
              <w:rPr>
                <w:rFonts w:ascii="Arial" w:cs="Arial" w:eastAsia="Arial" w:hAnsi="Arial"/>
                <w:sz w:val="18"/>
                <w:szCs w:val="18"/>
                <w:rtl w:val="0"/>
              </w:rPr>
              <w:t xml:space="preserve"> Partners with the Board of Directors, Development Committee members, and senior corporate volunteers  to support peer-to-peer outreach, partner cultivation, and solicitation, providing briefings, materials, and strategic support that enable volunteers to engage effectively with corporate prospects and partners.</w:t>
            </w:r>
          </w:p>
          <w:p w:rsidR="00000000" w:rsidDel="00000000" w:rsidP="00000000" w:rsidRDefault="00000000" w:rsidRPr="00000000" w14:paraId="0000003C">
            <w:pPr>
              <w:spacing w:after="240" w:before="240" w:lineRule="auto"/>
              <w:rPr>
                <w:rFonts w:ascii="Arial" w:cs="Arial" w:eastAsia="Arial" w:hAnsi="Arial"/>
                <w:sz w:val="18"/>
                <w:szCs w:val="18"/>
              </w:rPr>
            </w:pPr>
            <w:r w:rsidDel="00000000" w:rsidR="00000000" w:rsidRPr="00000000">
              <w:rPr>
                <w:rFonts w:ascii="Arial" w:cs="Arial" w:eastAsia="Arial" w:hAnsi="Arial"/>
                <w:b w:val="1"/>
                <w:bCs w:val="1"/>
                <w:sz w:val="18"/>
                <w:szCs w:val="18"/>
                <w:rtl w:val="0"/>
              </w:rPr>
              <w:t xml:space="preserve">External Relationships:</w:t>
            </w:r>
            <w:r w:rsidDel="00000000" w:rsidR="00000000" w:rsidRPr="00000000">
              <w:rPr>
                <w:rFonts w:ascii="Arial" w:cs="Arial" w:eastAsia="Arial" w:hAnsi="Arial"/>
                <w:sz w:val="18"/>
                <w:szCs w:val="18"/>
                <w:rtl w:val="0"/>
              </w:rPr>
              <w:t xml:space="preserve"> Builds and sustains trusted relationships with senior corporate executives - including marketing, brand, and community investment leaders - current and prospective partners, sponsorship and brand agency representatives, venue stakeholders, peer arts and cultural institutions, and community stakeholders, serving as a senior ambassador for the TSO and advancing long-term, mission-aligned corporate engagement.</w:t>
            </w:r>
          </w:p>
          <w:p w:rsidR="00000000" w:rsidDel="00000000" w:rsidP="00000000" w:rsidRDefault="00000000" w:rsidRPr="00000000" w14:paraId="0000003D">
            <w:pPr>
              <w:spacing w:after="240" w:before="240" w:lineRule="auto"/>
              <w:rPr>
                <w:rFonts w:ascii="Arial" w:cs="Arial" w:eastAsia="Arial" w:hAnsi="Arial"/>
                <w:color w:val="ff0000"/>
                <w:sz w:val="18"/>
                <w:szCs w:val="18"/>
              </w:rPr>
            </w:pPr>
            <w:r w:rsidDel="00000000" w:rsidR="00000000" w:rsidRPr="00000000">
              <w:rPr>
                <w:rFonts w:ascii="Arial" w:cs="Arial" w:eastAsia="Arial" w:hAnsi="Arial"/>
                <w:sz w:val="18"/>
                <w:szCs w:val="18"/>
                <w:rtl w:val="0"/>
              </w:rPr>
              <w:t xml:space="preserve">The purpose of these relationships is to drive sustainable partnership and contributed revenue, strengthen partner confidence and commitment, position the TSO as a partner of choice in the Canadian corporate community, and advance the mission and long-term success of the organization.</w:t>
            </w: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3E">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Physical and Sensory Demands</w:t>
            </w:r>
          </w:p>
          <w:p w:rsidR="00000000" w:rsidDel="00000000" w:rsidP="00000000" w:rsidRDefault="00000000" w:rsidRPr="00000000" w14:paraId="0000003F">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any typical physical and sensory demands that result from performing the job. Be specific about the duration and intensity of the demands.</w:t>
            </w:r>
          </w:p>
          <w:p w:rsidR="00000000" w:rsidDel="00000000" w:rsidP="00000000" w:rsidRDefault="00000000" w:rsidRPr="00000000" w14:paraId="00000040">
            <w:pPr>
              <w:rPr>
                <w:rFonts w:ascii="Arial" w:cs="Arial" w:eastAsia="Arial" w:hAnsi="Arial"/>
                <w:color w:val="ff0000"/>
                <w:sz w:val="18"/>
                <w:szCs w:val="18"/>
              </w:rPr>
            </w:pPr>
            <w:r w:rsidDel="00000000" w:rsidR="00000000" w:rsidRPr="00000000">
              <w:rPr>
                <w:rtl w:val="0"/>
              </w:rPr>
            </w:r>
          </w:p>
          <w:p w:rsidR="00000000" w:rsidDel="00000000" w:rsidP="00000000" w:rsidRDefault="00000000" w:rsidRPr="00000000" w14:paraId="00000041">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position requires the ability to participate fully in meetings, partner and prospect engagements, relevant performances, and partner activations. Physical and sensory demands include periods of extended sitting, standing, and walking; focused visual and auditory attention during meetings, performances, and on-site activations; and the capacity to engage professionally in dynamic environments, including public venues, partner offices, and event settings. Evening and weekend availability is required.</w:t>
            </w:r>
          </w:p>
          <w:p w:rsidR="00000000" w:rsidDel="00000000" w:rsidP="00000000" w:rsidRDefault="00000000" w:rsidRPr="00000000" w14:paraId="00000042">
            <w:pPr>
              <w:ind w:left="0" w:firstLine="0"/>
              <w:rPr>
                <w:rFonts w:ascii="Arial" w:cs="Arial" w:eastAsia="Arial" w:hAnsi="Arial"/>
                <w:sz w:val="18"/>
                <w:szCs w:val="18"/>
              </w:rPr>
            </w:pPr>
            <w:r w:rsidDel="00000000" w:rsidR="00000000" w:rsidRPr="00000000">
              <w:rPr>
                <w:rtl w:val="0"/>
              </w:rPr>
            </w:r>
          </w:p>
        </w:tc>
      </w:tr>
      <w:tr>
        <w:trPr>
          <w:cantSplit w:val="0"/>
          <w:trHeight w:val="1430"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43">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Work Environment</w:t>
            </w:r>
          </w:p>
          <w:p w:rsidR="00000000" w:rsidDel="00000000" w:rsidP="00000000" w:rsidRDefault="00000000" w:rsidRPr="00000000" w14:paraId="00000044">
            <w:pPr>
              <w:rPr>
                <w:rFonts w:ascii="Arial Narrow" w:cs="Arial Narrow" w:eastAsia="Arial Narrow" w:hAnsi="Arial Narrow"/>
                <w:color w:val="2d64af"/>
                <w:sz w:val="18"/>
                <w:szCs w:val="18"/>
              </w:rPr>
            </w:pPr>
            <w:r w:rsidDel="00000000" w:rsidR="00000000" w:rsidRPr="00000000">
              <w:rPr>
                <w:rFonts w:ascii="Arial Narrow" w:cs="Arial Narrow" w:eastAsia="Arial Narrow" w:hAnsi="Arial Narrow"/>
                <w:color w:val="2d64af"/>
                <w:sz w:val="18"/>
                <w:szCs w:val="18"/>
                <w:rtl w:val="0"/>
              </w:rPr>
              <w:t xml:space="preserve">Describe the conditions in a typical work environment, including any travel that is regularly required by the job.</w:t>
            </w:r>
          </w:p>
          <w:p w:rsidR="00000000" w:rsidDel="00000000" w:rsidP="00000000" w:rsidRDefault="00000000" w:rsidRPr="00000000" w14:paraId="00000045">
            <w:pPr>
              <w:rPr>
                <w:rFonts w:ascii="Arial" w:cs="Arial" w:eastAsia="Arial" w:hAnsi="Arial"/>
                <w:color w:val="ff0000"/>
                <w:sz w:val="20"/>
                <w:szCs w:val="20"/>
              </w:rPr>
            </w:pPr>
            <w:r w:rsidDel="00000000" w:rsidR="00000000" w:rsidRPr="00000000">
              <w:rPr>
                <w:rtl w:val="0"/>
              </w:rPr>
            </w:r>
          </w:p>
          <w:p w:rsidR="00000000" w:rsidDel="00000000" w:rsidP="00000000" w:rsidRDefault="00000000" w:rsidRPr="00000000" w14:paraId="00000046">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work is performed primarily in a professional office environment, with significant time spent externally meeting with corporate partners, prospects, agency representatives, and senior stakeholders at their offices and at industry venues. The role requires regular attendance at TSO performances, rehearsals, donor events, and partner activations, both on-site at Roy Thomson Hall and at external venues, where the Director represents the TSO at the executive level, hosts partners and prospects, and ensures partner commitments are brought to life. The role requires flexibility to work evenings and weekends in alignment with performance schedules and partner engagement activities. Local travel across the Greater Toronto Area is expected, with regular regional travel and occasional national or international travel to support partner cultivation, stewardship, and partnership development, and to participate in relevant industry and sector convenings. TSO operates a hybrid work environment - opportunity to work remotely as well as in the office. </w:t>
            </w:r>
          </w:p>
          <w:p w:rsidR="00000000" w:rsidDel="00000000" w:rsidP="00000000" w:rsidRDefault="00000000" w:rsidRPr="00000000" w14:paraId="00000047">
            <w:pPr>
              <w:ind w:left="0" w:firstLine="0"/>
              <w:rPr>
                <w:rFonts w:ascii="Arial" w:cs="Arial" w:eastAsia="Arial" w:hAnsi="Arial"/>
                <w:sz w:val="18"/>
                <w:szCs w:val="18"/>
              </w:rPr>
            </w:pPr>
            <w:r w:rsidDel="00000000" w:rsidR="00000000" w:rsidRPr="00000000">
              <w:rPr>
                <w:rtl w:val="0"/>
              </w:rPr>
            </w:r>
          </w:p>
        </w:tc>
      </w:tr>
      <w:tr>
        <w:trPr>
          <w:cantSplit w:val="0"/>
          <w:trHeight w:val="1824" w:hRule="atLeast"/>
          <w:tblHeader w:val="0"/>
        </w:trPr>
        <w:tc>
          <w:tcPr>
            <w:tcBorders>
              <w:top w:color="7f7f7f" w:space="0" w:sz="4" w:val="single"/>
              <w:left w:color="7f7f7f" w:space="0" w:sz="4" w:val="single"/>
              <w:bottom w:color="7f7f7f" w:space="0" w:sz="4" w:val="single"/>
              <w:right w:color="7f7f7f" w:space="0" w:sz="4" w:val="single"/>
            </w:tcBorders>
          </w:tcPr>
          <w:p w:rsidR="00000000" w:rsidDel="00000000" w:rsidP="00000000" w:rsidRDefault="00000000" w:rsidRPr="00000000" w14:paraId="00000048">
            <w:pPr>
              <w:rPr>
                <w:rFonts w:ascii="Arial" w:cs="Arial" w:eastAsia="Arial" w:hAnsi="Arial"/>
                <w:sz w:val="18"/>
                <w:szCs w:val="18"/>
              </w:rPr>
            </w:pPr>
            <w:r w:rsidDel="00000000" w:rsidR="00000000" w:rsidRPr="00000000">
              <w:rPr>
                <w:rtl w:val="0"/>
              </w:rPr>
            </w:r>
          </w:p>
          <w:p w:rsidR="00000000" w:rsidDel="00000000" w:rsidP="00000000" w:rsidRDefault="00000000" w:rsidRPr="00000000" w14:paraId="00000049">
            <w:pPr>
              <w:rPr>
                <w:rFonts w:ascii="Arial" w:cs="Arial" w:eastAsia="Arial" w:hAnsi="Arial"/>
                <w:b w:val="1"/>
                <w:bCs w:val="1"/>
                <w:sz w:val="18"/>
                <w:szCs w:val="18"/>
              </w:rPr>
            </w:pPr>
            <w:r w:rsidDel="00000000" w:rsidR="00000000" w:rsidRPr="00000000">
              <w:rPr>
                <w:rFonts w:ascii="Arial" w:cs="Arial" w:eastAsia="Arial" w:hAnsi="Arial"/>
                <w:b w:val="1"/>
                <w:bCs w:val="1"/>
                <w:sz w:val="18"/>
                <w:szCs w:val="18"/>
                <w:rtl w:val="0"/>
              </w:rPr>
              <w:t xml:space="preserve">Provide any additional information about the job.</w:t>
            </w:r>
          </w:p>
          <w:p w:rsidR="00000000" w:rsidDel="00000000" w:rsidP="00000000" w:rsidRDefault="00000000" w:rsidRPr="00000000" w14:paraId="0000004A">
            <w:pPr>
              <w:rPr>
                <w:rFonts w:ascii="Arial" w:cs="Arial" w:eastAsia="Arial" w:hAnsi="Arial"/>
                <w:b w:val="1"/>
                <w:bCs w:val="1"/>
                <w:sz w:val="18"/>
                <w:szCs w:val="18"/>
              </w:rPr>
            </w:pPr>
            <w:r w:rsidDel="00000000" w:rsidR="00000000" w:rsidRPr="00000000">
              <w:rPr>
                <w:rtl w:val="0"/>
              </w:rPr>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tl w:val="0"/>
              </w:rPr>
              <w:t xml:space="preserve">This role requires a high degree of professionalism, commercial acumen, discretion, and flexibility. The Director of Partnerships is expected to act as a senior ambassador for the Toronto Symphony Orchestra - modelling collaborative leadership, partner-centred practices, and a strong commitment to the organization's artistic mission and values. The successful candidate will bring an entrepreneurial mindset, a passion for the arts, and the credibility to engage senior corporate leaders as peers. The position may evolve over time in response to organizational priorities, growth, and partnership strategy, including the potential expansion of scope, team, and adjacent functions as the program matures. </w:t>
            </w: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sectPr>
      <w:footerReference r:id="rId8"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45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pacing w:after="120" w:before="120" w:lineRule="auto"/>
      <w:jc w:val="center"/>
    </w:pPr>
    <w:rPr>
      <w:rFonts w:ascii="Arial" w:cs="Arial" w:eastAsia="Arial" w:hAnsi="Arial"/>
      <w:b w:val="1"/>
      <w:bCs w:val="1"/>
    </w:rPr>
  </w:style>
  <w:style w:type="paragraph" w:styleId="Heading2">
    <w:name w:val="heading 2"/>
    <w:basedOn w:val="Normal"/>
    <w:next w:val="Normal"/>
    <w:pPr>
      <w:keepNext w:val="1"/>
      <w:spacing w:after="120" w:before="120" w:lineRule="auto"/>
      <w:jc w:val="center"/>
    </w:pPr>
    <w:rPr>
      <w:rFonts w:ascii="Arial" w:cs="Arial" w:eastAsia="Arial" w:hAnsi="Arial"/>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W0JmivZqKeYJWfqL3b4cjylh9w==">CgMxLjA4AHIhMXRodDNoamphMWxSaU9jR1VwaElFNW1ybGM2VEpIc1pX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