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9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08"/>
        <w:tblGridChange w:id="0">
          <w:tblGrid>
            <w:gridCol w:w="10908"/>
          </w:tblGrid>
        </w:tblGridChange>
      </w:tblGrid>
      <w:tr>
        <w:trPr>
          <w:cantSplit w:val="0"/>
          <w:trHeight w:val="1269" w:hRule="atLeast"/>
          <w:tblHeader w:val="0"/>
        </w:trPr>
        <w:tc>
          <w:tcPr>
            <w:tcBorders>
              <w:top w:color="000000" w:space="0" w:sz="0" w:val="nil"/>
              <w:left w:color="000000" w:space="0" w:sz="0" w:val="nil"/>
              <w:bottom w:color="7f7f7f" w:space="0" w:sz="4" w:val="single"/>
              <w:right w:color="000000" w:space="0" w:sz="0" w:val="nil"/>
            </w:tcBorders>
            <w:vAlign w:val="bottom"/>
          </w:tcPr>
          <w:p w:rsidR="00000000" w:rsidDel="00000000" w:rsidP="00000000" w:rsidRDefault="00000000" w:rsidRPr="00000000" w14:paraId="00000002">
            <w:pPr>
              <w:spacing w:after="120" w:before="12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JOB DESCRIPTION</w:t>
            </w:r>
            <w:r w:rsidDel="00000000" w:rsidR="00000000" w:rsidRPr="00000000">
              <w:drawing>
                <wp:anchor allowOverlap="1" behindDoc="0" distB="0" distT="0" distL="114300" distR="114300" hidden="0" layoutInCell="1" locked="0" relativeHeight="0" simplePos="0">
                  <wp:simplePos x="0" y="0"/>
                  <wp:positionH relativeFrom="column">
                    <wp:posOffset>5883910</wp:posOffset>
                  </wp:positionH>
                  <wp:positionV relativeFrom="paragraph">
                    <wp:posOffset>-316224</wp:posOffset>
                  </wp:positionV>
                  <wp:extent cx="897255" cy="655320"/>
                  <wp:effectExtent b="0" l="0" r="0" t="0"/>
                  <wp:wrapNone/>
                  <wp:docPr id="1" name="image1.png"/>
                  <a:graphic>
                    <a:graphicData uri="http://schemas.openxmlformats.org/drawingml/2006/picture">
                      <pic:pic>
                        <pic:nvPicPr>
                          <pic:cNvPr id="0" name="image1.png"/>
                          <pic:cNvPicPr preferRelativeResize="0"/>
                        </pic:nvPicPr>
                        <pic:blipFill>
                          <a:blip r:embed="rId7"/>
                          <a:srcRect b="0" l="7602" r="75327" t="40817"/>
                          <a:stretch>
                            <a:fillRect/>
                          </a:stretch>
                        </pic:blipFill>
                        <pic:spPr>
                          <a:xfrm>
                            <a:off x="0" y="0"/>
                            <a:ext cx="897255" cy="655320"/>
                          </a:xfrm>
                          <a:prstGeom prst="rect"/>
                          <a:ln/>
                        </pic:spPr>
                      </pic:pic>
                    </a:graphicData>
                  </a:graphic>
                </wp:anchor>
              </w:drawing>
            </w:r>
          </w:p>
        </w:tc>
      </w:tr>
      <w:tr>
        <w:trPr>
          <w:cantSplit w:val="0"/>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3">
            <w:pPr>
              <w:spacing w:after="120" w:before="12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Job title:</w:t>
            </w:r>
            <w:r w:rsidDel="00000000" w:rsidR="00000000" w:rsidRPr="00000000">
              <w:rPr>
                <w:rFonts w:ascii="Arial" w:cs="Arial" w:eastAsia="Arial" w:hAnsi="Arial"/>
                <w:sz w:val="20"/>
                <w:szCs w:val="20"/>
                <w:rtl w:val="0"/>
              </w:rPr>
              <w:t xml:space="preserve"> Executive Assistant &amp; Team Coordinator, Development </w:t>
            </w:r>
          </w:p>
        </w:tc>
      </w:tr>
      <w:tr>
        <w:trPr>
          <w:cantSplit w:val="0"/>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4">
            <w:pPr>
              <w:spacing w:after="120" w:before="12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Department:</w:t>
            </w:r>
            <w:r w:rsidDel="00000000" w:rsidR="00000000" w:rsidRPr="00000000">
              <w:rPr>
                <w:rFonts w:ascii="Arial" w:cs="Arial" w:eastAsia="Arial" w:hAnsi="Arial"/>
                <w:sz w:val="20"/>
                <w:szCs w:val="20"/>
                <w:rtl w:val="0"/>
              </w:rPr>
              <w:t xml:space="preserve"> Development</w:t>
            </w:r>
          </w:p>
        </w:tc>
      </w:tr>
      <w:tr>
        <w:trPr>
          <w:cantSplit w:val="0"/>
          <w:trHeight w:val="485" w:hRule="atLeast"/>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Reports to: </w:t>
            </w:r>
            <w:r w:rsidDel="00000000" w:rsidR="00000000" w:rsidRPr="00000000">
              <w:rPr>
                <w:rFonts w:ascii="Arial" w:cs="Arial" w:eastAsia="Arial" w:hAnsi="Arial"/>
                <w:sz w:val="20"/>
                <w:szCs w:val="20"/>
                <w:rtl w:val="0"/>
              </w:rPr>
              <w:t xml:space="preserve">Chief Development Officer</w:t>
            </w:r>
            <w:r w:rsidDel="00000000" w:rsidR="00000000" w:rsidRPr="00000000">
              <w:rPr>
                <w:rtl w:val="0"/>
              </w:rPr>
            </w:r>
          </w:p>
        </w:tc>
      </w:tr>
      <w:tr>
        <w:trPr>
          <w:cantSplit w:val="0"/>
          <w:trHeight w:val="485" w:hRule="atLeast"/>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 of Employees Directly Managed by this Position, if applicable:  0</w:t>
            </w:r>
            <w:r w:rsidDel="00000000" w:rsidR="00000000" w:rsidRPr="00000000">
              <w:rPr>
                <w:rtl w:val="0"/>
              </w:rPr>
            </w:r>
          </w:p>
        </w:tc>
      </w:tr>
      <w:tr>
        <w:trPr>
          <w:cantSplit w:val="0"/>
          <w:trHeight w:val="143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0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Primary Purpose</w:t>
            </w:r>
          </w:p>
          <w:p w:rsidR="00000000" w:rsidDel="00000000" w:rsidP="00000000" w:rsidRDefault="00000000" w:rsidRPr="00000000" w14:paraId="00000008">
            <w:pPr>
              <w:rPr>
                <w:rFonts w:ascii="Arial" w:cs="Arial" w:eastAsia="Arial" w:hAnsi="Arial"/>
                <w:color w:val="ff0000"/>
                <w:sz w:val="18"/>
                <w:szCs w:val="18"/>
              </w:rPr>
            </w:pPr>
            <w:r w:rsidDel="00000000" w:rsidR="00000000" w:rsidRPr="00000000">
              <w:rPr>
                <w:rFonts w:ascii="Arial Narrow" w:cs="Arial Narrow" w:eastAsia="Arial Narrow" w:hAnsi="Arial Narrow"/>
                <w:color w:val="2d64af"/>
                <w:sz w:val="18"/>
                <w:szCs w:val="18"/>
                <w:rtl w:val="0"/>
              </w:rPr>
              <w:t xml:space="preserve">State the primary purpose of the job with reference to the overall results and/or objectives expected rather what is specifically done. Describe the purpose in 1-2 sentences. </w:t>
            </w:r>
            <w:r w:rsidDel="00000000" w:rsidR="00000000" w:rsidRPr="00000000">
              <w:rPr>
                <w:rtl w:val="0"/>
              </w:rPr>
            </w:r>
          </w:p>
          <w:p w:rsidR="00000000" w:rsidDel="00000000" w:rsidP="00000000" w:rsidRDefault="00000000" w:rsidRPr="00000000" w14:paraId="00000009">
            <w:pPr>
              <w:spacing w:after="240" w:before="240" w:lineRule="auto"/>
              <w:rPr>
                <w:rFonts w:ascii="Arial" w:cs="Arial" w:eastAsia="Arial" w:hAnsi="Arial"/>
                <w:color w:val="22323d"/>
                <w:sz w:val="20"/>
                <w:szCs w:val="20"/>
                <w:highlight w:val="white"/>
              </w:rPr>
            </w:pPr>
            <w:r w:rsidDel="00000000" w:rsidR="00000000" w:rsidRPr="00000000">
              <w:rPr>
                <w:rFonts w:ascii="Arial" w:cs="Arial" w:eastAsia="Arial" w:hAnsi="Arial"/>
                <w:sz w:val="20"/>
                <w:szCs w:val="20"/>
                <w:rtl w:val="0"/>
              </w:rPr>
              <w:t xml:space="preserve">The Executive Assistant &amp; Team Coordinator, Development is the operational anchor of the Toronto Symphony Orchestra's Development team - providing high-level executive support to the Chief Development Officer and coordinating the team's planning, governance administration, volunteer engagement, and day-to-day operational rhythms. Reporting to the Chief Development Officer, the role enables senior fundraising leaders to focus on donors, partners, and strategy by ensuring the Development function operates with discipline, professionalism, and pace.</w:t>
            </w:r>
            <w:r w:rsidDel="00000000" w:rsidR="00000000" w:rsidRPr="00000000">
              <w:rPr>
                <w:rtl w:val="0"/>
              </w:rPr>
            </w:r>
          </w:p>
        </w:tc>
      </w:tr>
      <w:tr>
        <w:trPr>
          <w:cantSplit w:val="0"/>
          <w:trHeight w:val="125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0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Knowledge, Education, and/or Work Experience Requirements</w:t>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Narrow" w:cs="Arial Narrow" w:eastAsia="Arial Narrow" w:hAnsi="Arial Narrow"/>
                <w:color w:val="2d64af"/>
                <w:sz w:val="18"/>
                <w:szCs w:val="18"/>
                <w:rtl w:val="0"/>
              </w:rPr>
              <w:t xml:space="preserve">Describe the education, knowledge, skills, and work experience that are required to perform the job. </w:t>
            </w: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0C">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Minimum 5 years of experience in executive assistant, senior administrative, or development coordination roles, ideally within a not-for-profit, arts, cultural, or other complex environment.</w:t>
            </w:r>
          </w:p>
          <w:p w:rsidR="00000000" w:rsidDel="00000000" w:rsidP="00000000" w:rsidRDefault="00000000" w:rsidRPr="00000000" w14:paraId="0000000D">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Demonstrated experience supporting senior executives, including managing complex calendars, travel, expenses, and confidential correspondence with discretion and judgement.</w:t>
            </w:r>
          </w:p>
          <w:p w:rsidR="00000000" w:rsidDel="00000000" w:rsidP="00000000" w:rsidRDefault="00000000" w:rsidRPr="00000000" w14:paraId="0000000E">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Demonstrated experience supporting boards or board committees in an administrative capacity, including agenda preparation, materials assembly, meeting logistics, minute-taking, and follow-up tracking.</w:t>
            </w:r>
          </w:p>
          <w:p w:rsidR="00000000" w:rsidDel="00000000" w:rsidP="00000000" w:rsidRDefault="00000000" w:rsidRPr="00000000" w14:paraId="0000000F">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Strong project coordination skills, with the ability to manage multiple concurrent priorities, deadlines, and stakeholders, and to act as a custodian of team-wide processes and rhythms.</w:t>
            </w:r>
          </w:p>
          <w:p w:rsidR="00000000" w:rsidDel="00000000" w:rsidP="00000000" w:rsidRDefault="00000000" w:rsidRPr="00000000" w14:paraId="00000010">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Experience working alongside fundraising or development teams is an asset, with familiarity with donor cycles, pipeline tracking, and stewardship practices.</w:t>
            </w:r>
          </w:p>
          <w:p w:rsidR="00000000" w:rsidDel="00000000" w:rsidP="00000000" w:rsidRDefault="00000000" w:rsidRPr="00000000" w14:paraId="00000011">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Sophisticated interpersonal and written communication skills, with the ability to engage senior volunteers, donors, board members, and executive leadership with poise and professionalism.</w:t>
            </w:r>
          </w:p>
          <w:p w:rsidR="00000000" w:rsidDel="00000000" w:rsidP="00000000" w:rsidRDefault="00000000" w:rsidRPr="00000000" w14:paraId="00000012">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Strong proficiency with productivity, scheduling, and document tools (Google Workspace), and comfort working in a CRM or fundraising database. Experience with Tessitura is an asset, and experience in a comparable system (Raiser's Edge, Salesforce, etc.) with willingness to learn Tessitura is welcomed. </w:t>
            </w:r>
          </w:p>
          <w:p w:rsidR="00000000" w:rsidDel="00000000" w:rsidP="00000000" w:rsidRDefault="00000000" w:rsidRPr="00000000" w14:paraId="00000013">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Working knowledge of design and document layout tools (e.g., Canva, Adobe Express, PowerPoint design) sufficient to support the production of polished proposals, decks, and stewardship materials.</w:t>
            </w:r>
          </w:p>
          <w:p w:rsidR="00000000" w:rsidDel="00000000" w:rsidP="00000000" w:rsidRDefault="00000000" w:rsidRPr="00000000" w14:paraId="00000014">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Post-secondary education or equivalent professional experience.</w:t>
            </w:r>
          </w:p>
          <w:p w:rsidR="00000000" w:rsidDel="00000000" w:rsidP="00000000" w:rsidRDefault="00000000" w:rsidRPr="00000000" w14:paraId="00000015">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High level of professionalism, discretion, and ethical judgement, with the ability to handle confidential donor, board, and executive information.</w:t>
            </w:r>
          </w:p>
        </w:tc>
      </w:tr>
      <w:tr>
        <w:trPr>
          <w:cantSplit w:val="0"/>
          <w:trHeight w:val="195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1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Major Duties and Responsibilities</w:t>
            </w:r>
          </w:p>
          <w:p w:rsidR="00000000" w:rsidDel="00000000" w:rsidP="00000000" w:rsidRDefault="00000000" w:rsidRPr="00000000" w14:paraId="00000017">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the main duties and responsibilities of the job and not the specific and detailed work tasks. Use action verbs to describe duties and responsibilities. Identify any specific goals (desired end results) of the job.</w:t>
            </w:r>
          </w:p>
          <w:p w:rsidR="00000000" w:rsidDel="00000000" w:rsidP="00000000" w:rsidRDefault="00000000" w:rsidRPr="00000000" w14:paraId="00000018">
            <w:pPr>
              <w:ind w:left="45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Provide high-level executive assistance to the Chief Development Officer, including calendar management, travel coordination, expense management, briefing preparation, and confidential correspondence.</w:t>
            </w:r>
          </w:p>
          <w:p w:rsidR="00000000" w:rsidDel="00000000" w:rsidP="00000000" w:rsidRDefault="00000000" w:rsidRPr="00000000" w14:paraId="0000001A">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Triage incoming communications, requests, and correspondence on behalf of the Chief Development Officer, prioritizing matters requiring their attention, drafting responses where appropriate, and ensuring timely follow-up across stakeholders. </w:t>
            </w:r>
          </w:p>
          <w:p w:rsidR="00000000" w:rsidDel="00000000" w:rsidP="00000000" w:rsidRDefault="00000000" w:rsidRPr="00000000" w14:paraId="0000001B">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Support the Chief Development Officer's donor, partner, and stakeholder engagements, including scheduling, briefing preparation, materials, and follow-up coordination across cultivation, solicitation, and stewardship moments. </w:t>
            </w:r>
          </w:p>
          <w:p w:rsidR="00000000" w:rsidDel="00000000" w:rsidP="00000000" w:rsidRDefault="00000000" w:rsidRPr="00000000" w14:paraId="0000001C">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Coordinate administrative support for the TSO Board of Directors and its committees - including the Development Committee, the Nominations &amp; Governance Committee, and other Board committees as required - by preparing materials, managing meeting logistics, taking and circulating minutes, and tracking follow-up actions alongside committee chairs and senior staff.</w:t>
            </w:r>
          </w:p>
          <w:p w:rsidR="00000000" w:rsidDel="00000000" w:rsidP="00000000" w:rsidRDefault="00000000" w:rsidRPr="00000000" w14:paraId="0000001D">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Serve as the Development team's primary day-to-day point of contact with the Toronto Symphony Volunteer Committee (TSVC), coordinating Development-related TSVC activity and engagement.</w:t>
            </w:r>
          </w:p>
          <w:p w:rsidR="00000000" w:rsidDel="00000000" w:rsidP="00000000" w:rsidRDefault="00000000" w:rsidRPr="00000000" w14:paraId="0000001E">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Coordinate the Honorary Governors Circle annual business meeting and annual event, including logistics, materials, invitations, and stewardship touchpoints, in close partnership with the Chief Development Officer and senior leaders.</w:t>
            </w:r>
          </w:p>
          <w:p w:rsidR="00000000" w:rsidDel="00000000" w:rsidP="00000000" w:rsidRDefault="00000000" w:rsidRPr="00000000" w14:paraId="0000001F">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Act as the operational custodian of the Development team's meeting and reporting rhythm, including weekly team meetings, status updates, and the Development team's contribution to the Executive Leadership Team weekly updates.</w:t>
            </w:r>
          </w:p>
          <w:p w:rsidR="00000000" w:rsidDel="00000000" w:rsidP="00000000" w:rsidRDefault="00000000" w:rsidRPr="00000000" w14:paraId="00000020">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Act as custodian of the Development team's master calendar, scheduling, and key planning milestones, ensuring alignment across philanthropy, partnerships, individual giving, and stewardship activity.</w:t>
            </w:r>
          </w:p>
          <w:p w:rsidR="00000000" w:rsidDel="00000000" w:rsidP="00000000" w:rsidRDefault="00000000" w:rsidRPr="00000000" w14:paraId="00000021">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Coordinate and help support Development materials - including proposals, decks, briefing notes, board reports, and stewardship documents - using design and layout tools, in alignment with TSO brand standards and in collaboration with Marketing &amp; Communications where appropriate.</w:t>
            </w:r>
          </w:p>
          <w:p w:rsidR="00000000" w:rsidDel="00000000" w:rsidP="00000000" w:rsidRDefault="00000000" w:rsidRPr="00000000" w14:paraId="00000022">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Liaise closely with the CEO's Executive Assistant to coordinate executive scheduling, joint donor and partner engagements, board interactions, and shared organizational priorities.</w:t>
            </w:r>
          </w:p>
          <w:p w:rsidR="00000000" w:rsidDel="00000000" w:rsidP="00000000" w:rsidRDefault="00000000" w:rsidRPr="00000000" w14:paraId="00000023">
            <w:pPr>
              <w:numPr>
                <w:ilvl w:val="0"/>
                <w:numId w:val="1"/>
              </w:numPr>
              <w:spacing w:after="20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Coordinate and support special projects on behalf of the Chief Development Officer, including cross-functional initiatives, team planning sessions, and bespoke requests from Executive Leadership. </w:t>
            </w:r>
          </w:p>
          <w:p w:rsidR="00000000" w:rsidDel="00000000" w:rsidP="00000000" w:rsidRDefault="00000000" w:rsidRPr="00000000" w14:paraId="00000024">
            <w:pPr>
              <w:ind w:left="450" w:firstLine="0"/>
              <w:rPr>
                <w:rFonts w:ascii="Arial" w:cs="Arial" w:eastAsia="Arial" w:hAnsi="Arial"/>
                <w:sz w:val="18"/>
                <w:szCs w:val="18"/>
              </w:rPr>
            </w:pPr>
            <w:r w:rsidDel="00000000" w:rsidR="00000000" w:rsidRPr="00000000">
              <w:rPr>
                <w:rtl w:val="0"/>
              </w:rPr>
            </w:r>
          </w:p>
        </w:tc>
      </w:tr>
      <w:tr>
        <w:trPr>
          <w:cantSplit w:val="0"/>
          <w:trHeight w:val="1448"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2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Nature and Scope of Responsibility</w:t>
            </w:r>
          </w:p>
          <w:p w:rsidR="00000000" w:rsidDel="00000000" w:rsidP="00000000" w:rsidRDefault="00000000" w:rsidRPr="00000000" w14:paraId="00000026">
            <w:pPr>
              <w:rPr>
                <w:rFonts w:ascii="Arial" w:cs="Arial" w:eastAsia="Arial" w:hAnsi="Arial"/>
                <w:color w:val="ff0000"/>
                <w:sz w:val="20"/>
                <w:szCs w:val="20"/>
              </w:rPr>
            </w:pPr>
            <w:r w:rsidDel="00000000" w:rsidR="00000000" w:rsidRPr="00000000">
              <w:rPr>
                <w:rFonts w:ascii="Arial Narrow" w:cs="Arial Narrow" w:eastAsia="Arial Narrow" w:hAnsi="Arial Narrow"/>
                <w:color w:val="2d64af"/>
                <w:sz w:val="18"/>
                <w:szCs w:val="18"/>
                <w:rtl w:val="0"/>
              </w:rPr>
              <w:t xml:space="preserve">Job Scope: describe the assistance, support, influence, control or leadership the job is required to provide to others. This may include co-worker support, technical support, training, and all levels of supervision and management.</w:t>
            </w:r>
            <w:r w:rsidDel="00000000" w:rsidR="00000000" w:rsidRPr="00000000">
              <w:rPr>
                <w:rtl w:val="0"/>
              </w:rPr>
            </w:r>
          </w:p>
          <w:p w:rsidR="00000000" w:rsidDel="00000000" w:rsidP="00000000" w:rsidRDefault="00000000" w:rsidRPr="00000000" w14:paraId="00000027">
            <w:pPr>
              <w:spacing w:after="240" w:before="24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The Executive Assistant &amp; Team Coordinator, Development provides senior administrative and operational support across the Chief Development Officer's office and the broader Development team. The role serves as a trusted right hand to the Chief Development Officer and as a central coordination point for the team's senior leaders, volunteers, and ambassadors. The role does not have direct reports but exercises significant influence on team rhythm, executive efficiency, governance administration, and the smooth running of volunteer engagement processes. The role works closely with the CEO's Executive Assistant, Finance, Marketing &amp; Communications, and the broader Development team, and supports the Chief Development Officer in their interactions with the Executive Leadership Team and the Board. </w:t>
            </w:r>
            <w:r w:rsidDel="00000000" w:rsidR="00000000" w:rsidRPr="00000000">
              <w:rPr>
                <w:rtl w:val="0"/>
              </w:rPr>
            </w:r>
          </w:p>
        </w:tc>
      </w:tr>
      <w:tr>
        <w:trPr>
          <w:cantSplit w:val="0"/>
          <w:trHeight w:val="98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28">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Judgement: describe the typical and/or usual issues or problems the job is required to handle and resolve.</w:t>
            </w:r>
          </w:p>
          <w:p w:rsidR="00000000" w:rsidDel="00000000" w:rsidP="00000000" w:rsidRDefault="00000000" w:rsidRPr="00000000" w14:paraId="00000029">
            <w:pP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2A">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role requires sound professional judgement in managing competing priorities, confidential information, and sensitive communications across donors, board members, senior volunteers, ambassadors, and executive leadership. The Executive Assistant &amp; Team Coordinator independently triages incoming requests on behalf of the Chief Development Officer, anticipates issues before they escalate, and resolves day-to-day operational, scheduling, and logistical challenges that affect the team's ability to deliver. The role must navigate sensitive governance, donor, and interpersonal dynamics with discretion and tact, and must determine when to act independently and when to escalate to the Chief Development Officer or senior leaders. </w:t>
            </w:r>
          </w:p>
          <w:p w:rsidR="00000000" w:rsidDel="00000000" w:rsidP="00000000" w:rsidRDefault="00000000" w:rsidRPr="00000000" w14:paraId="0000002B">
            <w:pPr>
              <w:ind w:left="0" w:firstLine="0"/>
              <w:rPr>
                <w:rFonts w:ascii="Arial" w:cs="Arial" w:eastAsia="Arial" w:hAnsi="Arial"/>
                <w:b w:val="1"/>
                <w:bCs w:val="1"/>
                <w:sz w:val="18"/>
                <w:szCs w:val="18"/>
              </w:rPr>
            </w:pPr>
            <w:r w:rsidDel="00000000" w:rsidR="00000000" w:rsidRPr="00000000">
              <w:rPr>
                <w:rtl w:val="0"/>
              </w:rPr>
            </w:r>
          </w:p>
        </w:tc>
      </w:tr>
      <w:tr>
        <w:trPr>
          <w:cantSplit w:val="0"/>
          <w:trHeight w:val="1133"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2C">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Decision-Making: describe the typical and/or usual recommendations or decisions the job is required to make. Indicate the impact of decisions.</w:t>
            </w:r>
          </w:p>
          <w:p w:rsidR="00000000" w:rsidDel="00000000" w:rsidP="00000000" w:rsidRDefault="00000000" w:rsidRPr="00000000" w14:paraId="0000002D">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2E">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role makes independent decisions related to scheduling, prioritization, meeting and committee logistics, document production, expense and invoicing workflows, and operational coordination across the Development team. The role also contributes recommendations on team processes, governance routines, stewardship operations, and the design of Development materials. Decisions in this role have a direct impact on the efficiency and effectiveness of the Chief Development Officer, the Development team's leadership, and the experience of donors, volunteers, and board members in their interactions with the TSO .</w:t>
            </w:r>
          </w:p>
          <w:p w:rsidR="00000000" w:rsidDel="00000000" w:rsidP="00000000" w:rsidRDefault="00000000" w:rsidRPr="00000000" w14:paraId="0000002F">
            <w:pPr>
              <w:ind w:left="0" w:firstLine="0"/>
              <w:rPr>
                <w:rFonts w:ascii="Arial" w:cs="Arial" w:eastAsia="Arial" w:hAnsi="Arial"/>
                <w:sz w:val="18"/>
                <w:szCs w:val="18"/>
              </w:rPr>
            </w:pPr>
            <w:r w:rsidDel="00000000" w:rsidR="00000000" w:rsidRPr="00000000">
              <w:rPr>
                <w:rtl w:val="0"/>
              </w:rPr>
            </w:r>
          </w:p>
        </w:tc>
      </w:tr>
      <w:tr>
        <w:trPr>
          <w:cantSplit w:val="0"/>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Relationship Management</w:t>
            </w:r>
          </w:p>
          <w:p w:rsidR="00000000" w:rsidDel="00000000" w:rsidP="00000000" w:rsidRDefault="00000000" w:rsidRPr="00000000" w14:paraId="00000031">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the relationships (internal/external) that the job is required to have, and the purpose of the relationships.</w:t>
            </w:r>
          </w:p>
          <w:p w:rsidR="00000000" w:rsidDel="00000000" w:rsidP="00000000" w:rsidRDefault="00000000" w:rsidRPr="00000000" w14:paraId="00000032">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Executive Assistant &amp; Team Coordinator is required to establish, maintain, and strengthen effective working relationships across the organization and externally in support of the Development team and its governance and volunteer structures.</w:t>
            </w:r>
          </w:p>
          <w:p w:rsidR="00000000" w:rsidDel="00000000" w:rsidP="00000000" w:rsidRDefault="00000000" w:rsidRPr="00000000" w14:paraId="00000033">
            <w:pPr>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Internal Relationships:</w:t>
            </w:r>
            <w:r w:rsidDel="00000000" w:rsidR="00000000" w:rsidRPr="00000000">
              <w:rPr>
                <w:rFonts w:ascii="Arial" w:cs="Arial" w:eastAsia="Arial" w:hAnsi="Arial"/>
                <w:sz w:val="20"/>
                <w:szCs w:val="20"/>
                <w:rtl w:val="0"/>
              </w:rPr>
              <w:t xml:space="preserve"> Works closely with the Chief Development Officer, the Development team's senior leaders, the CEO's Executive Assistant, Executive Leadership Team, Finance, and Marketing &amp; Communications to ensure operational alignment, executive efficiency, and a high-quality team rhythm.</w:t>
            </w:r>
          </w:p>
          <w:p w:rsidR="00000000" w:rsidDel="00000000" w:rsidP="00000000" w:rsidRDefault="00000000" w:rsidRPr="00000000" w14:paraId="00000034">
            <w:pPr>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Volunteer and Governance Relationships:</w:t>
            </w:r>
            <w:r w:rsidDel="00000000" w:rsidR="00000000" w:rsidRPr="00000000">
              <w:rPr>
                <w:rFonts w:ascii="Arial" w:cs="Arial" w:eastAsia="Arial" w:hAnsi="Arial"/>
                <w:sz w:val="20"/>
                <w:szCs w:val="20"/>
                <w:rtl w:val="0"/>
              </w:rPr>
              <w:t xml:space="preserve"> Provides administrative support to the TSO Board of Directors and its committees - including the Development Committee and the Nominations &amp; Governance Committee - and serves as the Development team's day-to-day liaison to the Toronto Symphony Volunteer Committee, the Honorary Governors Circle, and the team's volunteer ambassadors across fundraising programs.</w:t>
            </w:r>
          </w:p>
          <w:p w:rsidR="00000000" w:rsidDel="00000000" w:rsidP="00000000" w:rsidRDefault="00000000" w:rsidRPr="00000000" w14:paraId="00000035">
            <w:pPr>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External Relationships:</w:t>
            </w:r>
            <w:r w:rsidDel="00000000" w:rsidR="00000000" w:rsidRPr="00000000">
              <w:rPr>
                <w:rFonts w:ascii="Arial" w:cs="Arial" w:eastAsia="Arial" w:hAnsi="Arial"/>
                <w:sz w:val="20"/>
                <w:szCs w:val="20"/>
                <w:rtl w:val="0"/>
              </w:rPr>
              <w:t xml:space="preserve"> Engages professionally with donors, partners, vendors, and external stakeholders on behalf of the Chief Development Officer and the Development team, representing the TSO with discretion, warmth, and professionalism in every interaction.</w:t>
            </w:r>
          </w:p>
          <w:p w:rsidR="00000000" w:rsidDel="00000000" w:rsidP="00000000" w:rsidRDefault="00000000" w:rsidRPr="00000000" w14:paraId="00000036">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purpose of these relationships is to ensure the Development team operates with operational discipline and governance integrity, that volunteers and board members experience the TSO as a well-run and donor-centred organization, and that the Chief Development Officer is supported to focus on the highest-value strategic and donor-facing work.</w:t>
            </w:r>
          </w:p>
        </w:tc>
      </w:tr>
      <w:tr>
        <w:trPr>
          <w:cantSplit w:val="0"/>
          <w:trHeight w:val="143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Physical and Sensory Demands</w:t>
            </w:r>
          </w:p>
          <w:p w:rsidR="00000000" w:rsidDel="00000000" w:rsidP="00000000" w:rsidRDefault="00000000" w:rsidRPr="00000000" w14:paraId="00000038">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any typical physical and sensory demands that result from performing the job. Be specific about the duration and intensity of the demands.</w:t>
            </w:r>
          </w:p>
          <w:p w:rsidR="00000000" w:rsidDel="00000000" w:rsidP="00000000" w:rsidRDefault="00000000" w:rsidRPr="00000000" w14:paraId="00000039">
            <w:pP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3A">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position requires the ability to participate fully in meetings, donor and volunteer engagements, relevant performances, and events. Physical and sensory demands include long periods (more than one hour) of sitting and typing at a desk and on a screen, periods of standing and walking during events and concert duty, and focused visual and auditory attention during meetings, performances, and committee meetings. Evening and weekend availability is required for board and committee meetings, donor and volunteer events, and select TSO performances. </w:t>
            </w:r>
          </w:p>
          <w:p w:rsidR="00000000" w:rsidDel="00000000" w:rsidP="00000000" w:rsidRDefault="00000000" w:rsidRPr="00000000" w14:paraId="0000003B">
            <w:pPr>
              <w:ind w:left="0" w:firstLine="0"/>
              <w:rPr>
                <w:rFonts w:ascii="Arial" w:cs="Arial" w:eastAsia="Arial" w:hAnsi="Arial"/>
                <w:sz w:val="18"/>
                <w:szCs w:val="18"/>
              </w:rPr>
            </w:pPr>
            <w:r w:rsidDel="00000000" w:rsidR="00000000" w:rsidRPr="00000000">
              <w:rPr>
                <w:rtl w:val="0"/>
              </w:rPr>
            </w:r>
          </w:p>
        </w:tc>
      </w:tr>
      <w:tr>
        <w:trPr>
          <w:cantSplit w:val="0"/>
          <w:trHeight w:val="143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C">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Work Environment</w:t>
            </w:r>
          </w:p>
          <w:p w:rsidR="00000000" w:rsidDel="00000000" w:rsidP="00000000" w:rsidRDefault="00000000" w:rsidRPr="00000000" w14:paraId="0000003D">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the conditions in a typical work environment, including any travel that is regularly required by the job.</w:t>
            </w:r>
          </w:p>
          <w:p w:rsidR="00000000" w:rsidDel="00000000" w:rsidP="00000000" w:rsidRDefault="00000000" w:rsidRPr="00000000" w14:paraId="0000003E">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3F">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work is performed primarily in a professional office environment, with regular attendance at TSO performances, board and committee meetings, donor and volunteer events, and ambassador engagements held on-site at Roy Thomson Hall and at external venues across the Greater Toronto Area. The role requires flexibility to work evenings and weekends in alignment with performance schedules, board meetings, and donor and volunteer engagement activities. Essential travel to the office is required to ensure continuity of business (mail, tax documents, board materials). TSO operates a hybrid work environment - opportunity to work remotely as well as in the office.  </w:t>
            </w:r>
          </w:p>
          <w:p w:rsidR="00000000" w:rsidDel="00000000" w:rsidP="00000000" w:rsidRDefault="00000000" w:rsidRPr="00000000" w14:paraId="00000040">
            <w:pPr>
              <w:ind w:left="0" w:firstLine="0"/>
              <w:rPr>
                <w:rFonts w:ascii="Arial" w:cs="Arial" w:eastAsia="Arial" w:hAnsi="Arial"/>
                <w:sz w:val="18"/>
                <w:szCs w:val="18"/>
              </w:rPr>
            </w:pPr>
            <w:r w:rsidDel="00000000" w:rsidR="00000000" w:rsidRPr="00000000">
              <w:rPr>
                <w:rtl w:val="0"/>
              </w:rPr>
            </w:r>
          </w:p>
        </w:tc>
      </w:tr>
      <w:tr>
        <w:trPr>
          <w:cantSplit w:val="0"/>
          <w:trHeight w:val="1824"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41">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Provide any additional information about the job.</w:t>
            </w:r>
          </w:p>
          <w:p w:rsidR="00000000" w:rsidDel="00000000" w:rsidP="00000000" w:rsidRDefault="00000000" w:rsidRPr="00000000" w14:paraId="00000043">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This role requires a high degree of professionalism, discretion, organization, and flexibility. The Executive Assistant &amp; Team Coordinator is expected to act as a trusted operational partner to the Chief Development Officer and a calm, capable presence across the Development team - modelling collaborative working practices, donor-centred service, and a strong commitment to the organization's artistic mission and values. The successful candidate will bring strong judgement, a service mindset, an interest in classical music and the arts, and a passion for enabling teams to do their best work. The position may evolve over time in response to organizational priorities, growth, and the needs of the Development team.  </w:t>
            </w: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jc w:val="center"/>
    </w:pPr>
    <w:rPr>
      <w:rFonts w:ascii="Arial" w:cs="Arial" w:eastAsia="Arial" w:hAnsi="Arial"/>
      <w:b w:val="1"/>
      <w:bCs w:val="1"/>
    </w:rPr>
  </w:style>
  <w:style w:type="paragraph" w:styleId="Heading2">
    <w:name w:val="heading 2"/>
    <w:basedOn w:val="Normal"/>
    <w:next w:val="Normal"/>
    <w:pPr>
      <w:keepNext w:val="1"/>
      <w:spacing w:after="120" w:before="120" w:lineRule="auto"/>
      <w:jc w:val="center"/>
    </w:pPr>
    <w:rPr>
      <w:rFonts w:ascii="Arial" w:cs="Arial" w:eastAsia="Arial" w:hAnsi="Arial"/>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IhqF0Bwri4rXPiMmH+I8ttCmQ==">CgMxLjA4AHIhMTdvbFhpeEt0c0hUQ2JyWkIxSVp5S1g2VXdYY1dPYl9r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